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0" w:type="dxa"/>
            <w:vMerge w:val="restart"/>
            <w:gridSpan w:val="50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План мероприятий  по исключению, снижению или контролю уровней профессиональных рисков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0" w:type="dxa"/>
            <w:vMerge w:val="continue"/>
            <w:gridSpan w:val="50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805" w:type="dxa"/>
            <w:gridSpan w:val="47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ГБУ КЦСОН Трубчевского района</w:t>
            </w:r>
          </w:p>
        </w:tc>
        <w:tc>
          <w:tcPr>
            <w:tcW w:w="315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Идентифицированные опасности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Код опасности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Риск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Наименование профессии (должности) работника, № карты, подразделения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Зона</w:t>
              <w:br/>
              <w:t>
выполнения работ,</w:t>
              <w:br/>
              <w:t>
передвижения</w:t>
              <w:br/>
              <w:t>
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Выполняемая работа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Планируемые меры</w:t>
              <w:br/>
              <w:t>
снижения рисков</w:t>
              <w:br/>
              <w:t>
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Срок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Исполнитель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Директор №1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Директор №1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Главный бухгалтер №2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Главный бухгалтер №2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Бухгалтер №3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Бухгалтер №3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Специалист по кадрам №4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Специалист по кадрам №4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отделением №5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отделением №5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Специалист по социальной работе №6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Специалист по социальной работе №6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отделением №7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отделением №7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Социальный работник №8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Социальный работник №8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Уборщик служебных помещений №9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Уборщик служебных помещений №9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хозяйством №10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хозяйством №10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Сторож №11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Помещения организации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Сторож №11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Помещения организации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Использование СИЗ и проведение инструктажа в случае возникновения ЧС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Сторож №11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Помещения организации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Рабочий по комплексному обслуживанию и ремонту зданий №12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Рабочий по комплексному обслуживанию и ремонту зданий №12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Рабочий по комплексному обслуживанию и ремонту зданий №12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Водитель №13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Водитель №13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Водитель №13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26.09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Водитель №13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Дорожно-транспортное происшествие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инструктажа по поведению  в случае возникновения ДТП, контроль за оснащением ремнями безопасности и безопасной конструкции сидений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26.09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Водитель №13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Дорожно-транспортное происшествие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инструктажа по поведению  в случае возникновения ДТП, контроль за оснащением ремнями безопасности и безопасной конструкции сидений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ожога от воздействия открытого пламени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03.03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Программист №14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Противопожарные тренировки, инструктаж персонала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Программист №14</w:t>
              <w:br/>
              <w:t>
ГБУ КЦСОН Трубчевского района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Здания и сооружения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Принятие мер по предотвращению развития аварийной ситуации, эвакуация из опасной зоны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тренировок (учений) по эвакуации персонала из здания; проведение инструктажей по действиям персонала при ЧС и возникновении пожара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0" w:type="dxa"/>
            <w:gridSpan w:val="3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Председатель комиссии по идентификации опасностей и оценки профессиональных рисков: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Директор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Сидоренкова Л.Н.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(Ф.И.О.)</w:t>
              <w:br/>
              <w:t>
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10" w:type="dxa"/>
            <w:gridSpan w:val="3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Члены комиссии по идентификации опасностей и оценки профессиональных рисков: 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Власова Н.А.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(Ф.И.О.)</w:t>
              <w:br/>
              <w:t>
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Иванов А.С.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(Ф.И.О.)</w:t>
              <w:br/>
              <w:t>
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footerReference w:type="default" r:id="rId9"/>
      <w:footerReference w:type="first" r:id="rId11"/>
      <w:pgSz w:w="16839" w:h="11907" w:orient="landscape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6"/>
          </w:rPr>
          <w:r>
            <w:rPr>
              <w:rFonts w:ascii="Arial" w:hAnsi="Arial"/>
              <w:sz w:val="16"/>
              <w:fldChar w:fldCharType="begin"/>
            </w:rPr>
          </w:r>
          <w:r>
            <w:rPr>
              <w:rFonts w:ascii="Arial" w:hAnsi="Arial"/>
              <w:sz w:val="16"/>
              <w:instrText> PAGE   \* MERGEFORMAT </w:instrText>
            </w:rPr>
          </w:r>
          <w:r>
            <w:rPr>
              <w:rFonts w:ascii="Arial" w:hAnsi="Arial"/>
              <w:sz w:val="16"/>
              <w:fldChar w:fldCharType="separate"/>
            </w:rPr>
          </w:r>
          <w:r>
            <w:rPr>
              <w:rFonts w:ascii="Arial" w:hAnsi="Arial"/>
              <w:sz w:val="16"/>
              <w:fldChar w:fldCharType="end"/>
            </w:rPr>
          </w:r>
        </w: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