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b/>
          <w:sz w:val="28"/>
          <w:szCs w:val="28"/>
        </w:rPr>
        <w:t xml:space="preserve">                                                                     </w:t>
      </w:r>
    </w:p>
    <w:p>
      <w:pPr>
        <w:pStyle w:val="Normal"/>
        <w:spacing w:before="0" w:after="0"/>
        <w:ind w:left="9204"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УТВЕРЖДАЮ</w:t>
        <w:tab/>
        <w:tab/>
        <w:tab/>
        <w:t xml:space="preserve"> </w:t>
      </w:r>
    </w:p>
    <w:p>
      <w:pPr>
        <w:pStyle w:val="Normal"/>
        <w:tabs>
          <w:tab w:val="clear" w:pos="708"/>
          <w:tab w:val="left" w:pos="10500" w:leader="none"/>
        </w:tabs>
        <w:spacing w:before="0" w:after="0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Директор ГБУ КЦСОН </w:t>
      </w:r>
    </w:p>
    <w:p>
      <w:pPr>
        <w:pStyle w:val="Normal"/>
        <w:tabs>
          <w:tab w:val="clear" w:pos="708"/>
          <w:tab w:val="left" w:pos="10500" w:leader="none"/>
        </w:tabs>
        <w:spacing w:before="0" w:after="0"/>
        <w:rPr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Трубчевского рйона</w:t>
      </w:r>
    </w:p>
    <w:p>
      <w:pPr>
        <w:pStyle w:val="Normal"/>
        <w:tabs>
          <w:tab w:val="clear" w:pos="708"/>
          <w:tab w:val="left" w:pos="10500" w:leader="none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sz w:val="28"/>
          <w:szCs w:val="28"/>
          <w:u w:val="single"/>
        </w:rPr>
        <w:t xml:space="preserve">                     </w:t>
      </w:r>
      <w:r>
        <w:rPr>
          <w:sz w:val="28"/>
          <w:szCs w:val="28"/>
          <w:u w:val="single"/>
        </w:rPr>
        <w:t>Л.Н.Сидоренкова</w:t>
      </w:r>
      <w:r>
        <w:rPr>
          <w:sz w:val="28"/>
          <w:szCs w:val="28"/>
          <w:u w:val="single"/>
        </w:rPr>
        <w:t xml:space="preserve"> </w:t>
      </w:r>
    </w:p>
    <w:p>
      <w:pPr>
        <w:pStyle w:val="Normal"/>
        <w:tabs>
          <w:tab w:val="clear" w:pos="708"/>
          <w:tab w:val="left" w:pos="10275" w:leader="none"/>
        </w:tabs>
        <w:rPr/>
      </w:pPr>
      <w:r>
        <w:rPr>
          <w:sz w:val="28"/>
          <w:szCs w:val="28"/>
        </w:rPr>
        <w:tab/>
        <w:t xml:space="preserve">  «</w:t>
      </w:r>
      <w:r>
        <w:rPr>
          <w:sz w:val="28"/>
          <w:szCs w:val="28"/>
          <w:u w:val="single"/>
        </w:rPr>
        <w:t xml:space="preserve">   </w:t>
      </w:r>
      <w:r>
        <w:rPr>
          <w:sz w:val="28"/>
          <w:szCs w:val="28"/>
          <w:u w:val="single"/>
        </w:rPr>
        <w:t xml:space="preserve">20   </w:t>
      </w:r>
      <w:r>
        <w:rPr>
          <w:sz w:val="28"/>
          <w:szCs w:val="28"/>
        </w:rPr>
        <w:t>»</w:t>
      </w:r>
      <w:r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марта    </w:t>
      </w:r>
      <w:r>
        <w:rPr>
          <w:sz w:val="28"/>
          <w:szCs w:val="28"/>
        </w:rPr>
        <w:t xml:space="preserve">20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Карта коррупционных рисков, возникающих при осуществлении закупок </w:t>
      </w:r>
    </w:p>
    <w:p>
      <w:pPr>
        <w:pStyle w:val="Normal"/>
        <w:spacing w:before="0" w:after="0"/>
        <w:jc w:val="center"/>
        <w:rPr/>
      </w:pPr>
      <w:r>
        <w:rPr>
          <w:b/>
          <w:color w:val="000000"/>
          <w:sz w:val="28"/>
          <w:szCs w:val="28"/>
        </w:rPr>
        <w:t xml:space="preserve">в </w:t>
      </w:r>
      <w:bookmarkStart w:id="0" w:name="_GoBack"/>
      <w:bookmarkEnd w:id="0"/>
      <w:r>
        <w:rPr>
          <w:b/>
          <w:color w:val="000000"/>
          <w:sz w:val="28"/>
          <w:szCs w:val="28"/>
        </w:rPr>
        <w:t xml:space="preserve">  </w:t>
      </w:r>
      <w:r>
        <w:rPr>
          <w:b/>
          <w:color w:val="000000"/>
          <w:sz w:val="28"/>
          <w:szCs w:val="28"/>
          <w:u w:val="single"/>
        </w:rPr>
        <w:t xml:space="preserve">   </w:t>
      </w:r>
      <w:r>
        <w:rPr>
          <w:b/>
          <w:color w:val="000000"/>
          <w:sz w:val="28"/>
          <w:szCs w:val="28"/>
          <w:u w:val="single"/>
        </w:rPr>
        <w:t xml:space="preserve">ГБУ КЦСОН Трубчевского района    </w:t>
      </w:r>
    </w:p>
    <w:p>
      <w:pPr>
        <w:pStyle w:val="Normal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15735" w:type="dxa"/>
        <w:jc w:val="left"/>
        <w:tblInd w:w="-31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9"/>
        <w:gridCol w:w="2074"/>
        <w:gridCol w:w="3262"/>
        <w:gridCol w:w="2292"/>
        <w:gridCol w:w="3805"/>
        <w:gridCol w:w="3652"/>
      </w:tblGrid>
      <w:tr>
        <w:trPr>
          <w:trHeight w:val="1017" w:hRule="atLeast"/>
        </w:trPr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№</w:t>
            </w:r>
          </w:p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0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Краткое наименование коррупционного риска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Описание возможной коррупционной схемы</w:t>
            </w:r>
          </w:p>
        </w:tc>
        <w:tc>
          <w:tcPr>
            <w:tcW w:w="2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Наименование должностей гражданских служащих, которые могут участвовать в реализации коррупционной схемы</w:t>
            </w:r>
          </w:p>
        </w:tc>
        <w:tc>
          <w:tcPr>
            <w:tcW w:w="7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Меры по минимизации коррупционных рисков</w:t>
            </w:r>
          </w:p>
        </w:tc>
      </w:tr>
      <w:tr>
        <w:trPr>
          <w:trHeight w:val="1169" w:hRule="atLeast"/>
        </w:trPr>
        <w:tc>
          <w:tcPr>
            <w:tcW w:w="64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07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2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Реализуемые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Предлагаемые</w:t>
            </w:r>
          </w:p>
        </w:tc>
      </w:tr>
      <w:tr>
        <w:trPr>
          <w:trHeight w:val="2316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1.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Планирование закупки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Осуществление закупки,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не предусмотренной планом-графиком закупок товаров, работ, услуг и не соответствующей </w:t>
            </w:r>
          </w:p>
          <w:p>
            <w:pPr>
              <w:pStyle w:val="Normal"/>
              <w:spacing w:before="0" w:after="0"/>
              <w:rPr/>
            </w:pPr>
            <w:r>
              <w:rPr/>
              <w:t xml:space="preserve">правилам нормирования и требованиям к закупаемым товарам, работам, услугам для обеспечения функций учреждения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/>
                <w:i w:val="false"/>
                <w:iCs w:val="false"/>
                <w:lang w:eastAsia="ru-RU"/>
              </w:rPr>
              <w:t>Главный бухгалтер</w:t>
            </w:r>
          </w:p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/>
                <w:i w:val="false"/>
                <w:iCs w:val="false"/>
                <w:lang w:eastAsia="ru-RU"/>
              </w:rPr>
              <w:t>Ведущий бухгалтер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Проверка соответствия осуществляемой закупки плану-графику закупок товаров, работ, услуг учреждения, правилам нормирования и требованиям к закупаемым товарам, работам, услугам для обеспечения функций учреждения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Постоянный контроль</w:t>
            </w:r>
          </w:p>
        </w:tc>
      </w:tr>
      <w:tr>
        <w:trPr>
          <w:trHeight w:val="5533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2.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Обоснование начальной (максимальной) цены контракта (далее - НМЦК), цены контракта, заключаемого с единственным поставщиком (подрядчиком, исполнителем)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При подготовке обоснования необоснованно завышена НМЦК, цена контракта, заключаемого с единственным поставщиком.</w:t>
            </w:r>
          </w:p>
          <w:p>
            <w:pPr>
              <w:pStyle w:val="Normal"/>
              <w:spacing w:before="0" w:after="0"/>
              <w:jc w:val="both"/>
              <w:rPr>
                <w:bCs/>
                <w:highlight w:val="yellow"/>
              </w:rPr>
            </w:pPr>
            <w:r>
              <w:rPr/>
              <w:t>Предоставление заведомо ложных сведений о проведении мониторинга цен на товары, работы, услуги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bookmarkStart w:id="1" w:name="__DdeLink__1328_1013350367"/>
            <w:r>
              <w:rPr>
                <w:rFonts w:eastAsia="Times New Roman"/>
                <w:i w:val="false"/>
                <w:iCs w:val="false"/>
                <w:lang w:eastAsia="ru-RU"/>
              </w:rPr>
              <w:t>Главный бухгалтер</w:t>
            </w:r>
          </w:p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bookmarkStart w:id="2" w:name="__DdeLink__1328_1013350367"/>
            <w:r>
              <w:rPr>
                <w:rFonts w:eastAsia="Times New Roman"/>
                <w:i w:val="false"/>
                <w:iCs w:val="false"/>
                <w:lang w:eastAsia="ru-RU"/>
              </w:rPr>
              <w:t>Ведущий бухгалтер</w:t>
            </w:r>
            <w:bookmarkEnd w:id="2"/>
          </w:p>
          <w:p>
            <w:pPr>
              <w:pStyle w:val="ConsPlusTitle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4"/>
                <w:szCs w:val="24"/>
              </w:rPr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Обоснование НМЦК, цены контракта, заключаемого с единственным поставщиком (подрядчиком, исполнителем) в строгом соответствии с требованиями статьи 22 Федерального закона от  05.04.2013                 № 44-ФЗ «О контрактной системе в сфере закупок товаров, работ, услуг для обеспечения государственных и муниципальных нужд» (далее - Закон № 44-ФЗ).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В целях недопущения завышения НМЦК, цены контракта, заключаемого с единственным поставщиком (подрядчиком, исполнителем), при обосновании НМЦК преимущественно применять метод сопоставимых рыночных цен (осуществлять мониторинг цен на товары, работы и услуги путем сбора коммерческих предложений, размещения запросов ценовой информации в единой информационной системе в сфере закупок (далее - ЕИС), использование информации из реестра контрактов ЕИС, а также общедоступной информации из информационно-телекоммуникационной сети «Интернет».</w:t>
            </w:r>
          </w:p>
        </w:tc>
      </w:tr>
      <w:tr>
        <w:trPr>
          <w:trHeight w:val="4116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3.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Размещение извещения об осуществлении закупки, подготовка проекта контракта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Установление необоснованных преимуществ для отдельных участников закупки при размещении извещения об осуществлении закупки.</w:t>
            </w:r>
          </w:p>
          <w:p>
            <w:pPr>
              <w:pStyle w:val="Normal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Установление дискриминационных условий при осуществлении закупки.</w:t>
            </w:r>
          </w:p>
          <w:p>
            <w:pPr>
              <w:pStyle w:val="Normal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Несоответствие условий проекта контракта типовым контрактам в части ухудшения условий заказчика и создания различных преференций для поставщика (подрядчика, исполнителя).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>
                <w:bCs/>
              </w:rPr>
              <w:t>Подготовка проекта контракта и/или извещения об осуществлении закупки на поставку товара, выполнение работ, оказание услуг, которые фактически поставлены (выполнены, оказаны).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/>
                <w:i w:val="false"/>
                <w:iCs w:val="false"/>
                <w:lang w:eastAsia="ru-RU"/>
              </w:rPr>
              <w:t>Главный бухгалтер</w:t>
            </w:r>
          </w:p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/>
                <w:i w:val="false"/>
                <w:iCs w:val="false"/>
                <w:lang w:eastAsia="ru-RU"/>
              </w:rPr>
              <w:t>Ведущий бухгалтер</w:t>
            </w:r>
          </w:p>
          <w:p>
            <w:pPr>
              <w:pStyle w:val="ConsPlusTitle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Проверка обоснованности и целесообразности заключения контракта.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 xml:space="preserve">Обязательная проверка соответствия проектов контактов утвержденным типовым контрактам.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Разъяснение сотрудникам обязанности незамедлительно сообщать представителю нанимателя о склонении его к совершению коррупционного правонарушения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 xml:space="preserve">Исключение необоснованных преимуществ путем выставления дополнительных требований или ограничений к участникам закупки, обеспечение широкого круга участников и создание максимально конкурентной среды.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Запрет на умышленное неправомерное включение в извещение об осуществлении закупки и проект контракта условий, ограничивающих конкуренцию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/>
            </w:pPr>
            <w:r>
              <w:rPr/>
              <w:t>4.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 xml:space="preserve">Рассмотрение заявок на участие в закупке, неправомерный допуск к участию в закупке в целях обеспечения создания преимущества определенному поставщику (подрядчику, исполнителю)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Отклонение всех заявок с целью проведения повторной закупки.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 xml:space="preserve">Закупка у определённого поставщика (подрядчика, исполнителя) при сговоре с другими участниками. </w:t>
            </w:r>
          </w:p>
          <w:p>
            <w:pPr>
              <w:pStyle w:val="Normal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В целях создания преимущества для какой-либо организации нарушение предусмотренной законом процедуры осуществления закупки либо нарушение правил описания объекта закупки. </w:t>
            </w:r>
          </w:p>
          <w:p>
            <w:pPr>
              <w:pStyle w:val="Normal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Прямые контакты и переговоры с потенциальным участником закупки. </w:t>
            </w:r>
          </w:p>
          <w:p>
            <w:pPr>
              <w:pStyle w:val="Normal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Аффилированность членов комиссии </w:t>
            </w:r>
            <w:r>
              <w:rPr/>
              <w:t xml:space="preserve">по осуществлению закупок товаров, работ, услуг для обеспечения государственных нужд учреждения </w:t>
            </w:r>
            <w:r>
              <w:rPr>
                <w:bCs/>
              </w:rPr>
              <w:t>при рассмотрении заявок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/>
                <w:i w:val="false"/>
                <w:iCs w:val="false"/>
                <w:lang w:eastAsia="ru-RU"/>
              </w:rPr>
              <w:t>Главный бухгалтер</w:t>
            </w:r>
          </w:p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/>
                <w:i w:val="false"/>
                <w:iCs w:val="false"/>
                <w:lang w:eastAsia="ru-RU"/>
              </w:rPr>
              <w:t>Ведущий бухгалтер</w:t>
            </w:r>
          </w:p>
          <w:p>
            <w:pPr>
              <w:pStyle w:val="Normal"/>
              <w:spacing w:before="0" w:after="0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Установление единых требований к участникам закупки, соблюдение правил описания объекта закупки.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Ограничение возможности сотрудникам, обеспечивающим закупку, предоставлять кому-либо сведения о ходе закупок, проводить непредусмотренные переговоры с участниками.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Исключение возможности сотрудникам, обеспечивающим закупку, получать какие-либо выгоды от проведения закупки.</w:t>
            </w:r>
          </w:p>
          <w:p>
            <w:pPr>
              <w:pStyle w:val="Normal"/>
              <w:spacing w:before="0" w:after="0"/>
              <w:jc w:val="both"/>
              <w:rPr>
                <w:highlight w:val="yellow"/>
              </w:rPr>
            </w:pPr>
            <w:r>
              <w:rPr/>
              <w:t>Разъяснение понятия аффилированности, установление требований к разрешению выявленных ситуаций аффилированности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Ограничение возможности сотрудниками, ответственными за осуществление закупок, предоставлять кому-либо сведения о ходе закупок, проводить переговоры с потенциальными участниками. Проверка информации о собственниках юридических лиц контрагентов, установления наличия конфликта интересов и/или связей, носящих характер аффилированности, выявления коррупционных связей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highlight w:val="yellow"/>
              </w:rPr>
            </w:pPr>
            <w:r>
              <w:rPr/>
              <w:t>5.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highlight w:val="yellow"/>
              </w:rPr>
            </w:pPr>
            <w:r>
              <w:rPr/>
              <w:t xml:space="preserve">Приёмка результатов поставленных товаров, выполненных работ, оказанных услуг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 xml:space="preserve">Приемка результатов поставленных товаров, выполненных работ, оказанных услуг, </w:t>
            </w:r>
          </w:p>
          <w:p>
            <w:pPr>
              <w:pStyle w:val="Normal"/>
              <w:spacing w:before="0" w:after="0"/>
              <w:jc w:val="both"/>
              <w:rPr>
                <w:bCs/>
              </w:rPr>
            </w:pPr>
            <w:r>
              <w:rPr>
                <w:bCs/>
              </w:rPr>
              <w:t>не соответствующих условиям контракта</w:t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  <w:u w:val="none"/>
              </w:rPr>
            </w:pPr>
            <w:r>
              <w:rPr>
                <w:rFonts w:eastAsia="Times New Roman"/>
                <w:i w:val="false"/>
                <w:iCs w:val="false"/>
                <w:u w:val="none"/>
                <w:lang w:eastAsia="ru-RU"/>
              </w:rPr>
              <w:t>Главный бухгалтер</w:t>
            </w:r>
          </w:p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  <w:u w:val="none"/>
              </w:rPr>
            </w:pPr>
            <w:r>
              <w:rPr>
                <w:rFonts w:eastAsia="Times New Roman"/>
                <w:i w:val="false"/>
                <w:iCs w:val="false"/>
                <w:u w:val="none"/>
                <w:lang w:eastAsia="ru-RU"/>
              </w:rPr>
              <w:t>Ведущий бухгалтер</w:t>
            </w:r>
          </w:p>
          <w:p>
            <w:pPr>
              <w:pStyle w:val="Normal"/>
              <w:spacing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bCs/>
              </w:rPr>
            </w:r>
          </w:p>
          <w:p>
            <w:pPr>
              <w:pStyle w:val="Normal"/>
              <w:spacing w:before="0" w:after="0"/>
              <w:rPr/>
            </w:pPr>
            <w:r>
              <w:rPr/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 xml:space="preserve">Приемка результатов </w:t>
            </w:r>
            <w:r>
              <w:rPr>
                <w:bCs/>
              </w:rPr>
              <w:t>поставленных товаров, выполненных работ, оказанных услуг</w:t>
            </w:r>
            <w:r>
              <w:rPr/>
              <w:t xml:space="preserve"> осуществляется в соответствии с требованиями статьи 94 Закона № 44-ФЗ. 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Разъяснение сотрудникам обязанности, предусматривающей незамедлительное сообщение представителю нанимателя о склонении его к совершению коррупционного правонарушения,</w:t>
            </w:r>
          </w:p>
          <w:p>
            <w:pPr>
              <w:pStyle w:val="Normal"/>
              <w:spacing w:before="0" w:after="0"/>
              <w:jc w:val="both"/>
              <w:rPr/>
            </w:pPr>
            <w:r>
              <w:rPr/>
              <w:t>об ответственности за совершение коррупционных правонарушений</w:t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/>
            </w:pPr>
            <w:r>
              <w:rPr/>
              <w:t>Постоянный контроль</w:t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center"/>
              <w:rPr>
                <w:highlight w:val="yellow"/>
              </w:rPr>
            </w:pPr>
            <w:r>
              <w:rPr/>
              <w:t>6.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>
                <w:highlight w:val="yellow"/>
              </w:rPr>
            </w:pPr>
            <w:r>
              <w:rPr/>
              <w:t>Претензионная работа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bCs/>
                <w:highlight w:val="yellow"/>
              </w:rPr>
            </w:pPr>
            <w:r>
              <w:rPr>
                <w:bCs/>
              </w:rPr>
              <w:t xml:space="preserve">При ведении претензионной работы сотрудникам учреждения предлагается за вознаграждение способствовать непринятию мер по предъявлению претензий 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/>
                <w:i w:val="false"/>
                <w:iCs w:val="false"/>
                <w:lang w:eastAsia="ru-RU"/>
              </w:rPr>
              <w:t>Главный бухгалтер</w:t>
            </w:r>
          </w:p>
          <w:p>
            <w:pPr>
              <w:pStyle w:val="Normal"/>
              <w:spacing w:before="0" w:after="0"/>
              <w:jc w:val="both"/>
              <w:rPr>
                <w:i w:val="false"/>
                <w:i w:val="false"/>
                <w:iCs w:val="false"/>
              </w:rPr>
            </w:pPr>
            <w:r>
              <w:rPr>
                <w:rFonts w:eastAsia="Times New Roman"/>
                <w:i w:val="false"/>
                <w:iCs w:val="false"/>
                <w:lang w:eastAsia="ru-RU"/>
              </w:rPr>
              <w:t>Ведущий бухгалтер</w:t>
            </w:r>
          </w:p>
          <w:p>
            <w:pPr>
              <w:pStyle w:val="Normal"/>
              <w:spacing w:before="0" w:after="0"/>
              <w:jc w:val="both"/>
              <w:rPr>
                <w:bCs/>
                <w:highlight w:val="yellow"/>
              </w:rPr>
            </w:pPr>
            <w:r>
              <w:rPr>
                <w:bCs/>
                <w:highlight w:val="yellow"/>
              </w:rPr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Осуществление контроля со стороны сотрудников, ответственных за исполнение контракта</w:t>
            </w:r>
          </w:p>
          <w:p>
            <w:pPr>
              <w:pStyle w:val="Normal"/>
              <w:spacing w:before="0" w:after="0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0" w:after="0"/>
              <w:rPr/>
            </w:pPr>
            <w:r>
              <w:rPr/>
              <w:t>Постоянный контроль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1134" w:footer="720" w:bottom="85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15809798"/>
    </w:sdtPr>
    <w:sdtContent>
      <w:p>
        <w:pPr>
          <w:pStyle w:val="Style22"/>
          <w:jc w:val="center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587bb5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587bb5"/>
    <w:rPr/>
  </w:style>
  <w:style w:type="character" w:styleId="Style16" w:customStyle="1">
    <w:name w:val="Текст выноски Знак"/>
    <w:basedOn w:val="DefaultParagraphFont"/>
    <w:link w:val="a8"/>
    <w:uiPriority w:val="99"/>
    <w:semiHidden/>
    <w:qFormat/>
    <w:rsid w:val="002b6ea7"/>
    <w:rPr>
      <w:rFonts w:ascii="Segoe UI" w:hAnsi="Segoe UI" w:cs="Segoe UI"/>
      <w:sz w:val="18"/>
      <w:szCs w:val="18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ConsPlusTitle" w:customStyle="1">
    <w:name w:val="ConsPlusTitle"/>
    <w:qFormat/>
    <w:rsid w:val="0075550e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0"/>
      <w:lang w:val="ru-RU" w:eastAsia="ru-RU" w:bidi="ar-SA"/>
    </w:rPr>
  </w:style>
  <w:style w:type="paragraph" w:styleId="Style22">
    <w:name w:val="Header"/>
    <w:basedOn w:val="Normal"/>
    <w:link w:val="a5"/>
    <w:uiPriority w:val="99"/>
    <w:unhideWhenUsed/>
    <w:rsid w:val="00587b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587bb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2b6ea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f752c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LibreOffice/6.2.0.3$Windows_x86 LibreOffice_project/98c6a8a1c6c7b144ce3cc729e34964b47ce25d62</Application>
  <Pages>4</Pages>
  <Words>670</Words>
  <Characters>5382</Characters>
  <CharactersWithSpaces>6573</CharactersWithSpaces>
  <Paragraphs>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2023-03-20T08:12:00Z</dcterms:created>
  <dc:creator>Рязановская Ольга Тимуровна</dc:creator>
  <dc:description/>
  <dc:language>ru-RU</dc:language>
  <cp:lastModifiedBy/>
  <cp:lastPrinted>2022-03-14T12:19:00Z</cp:lastPrinted>
  <dcterms:modified xsi:type="dcterms:W3CDTF">2023-03-21T12:28:11Z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