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20"/>
          <w:tab w:val="left" w:pos="5220" w:leader="none"/>
          <w:tab w:val="left" w:pos="5385" w:leader="none"/>
        </w:tabs>
        <w:spacing w:lineRule="auto" w:line="240" w:before="0" w:after="0"/>
        <w:jc w:val="center"/>
        <w:rPr/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Директор ГБУ КЦСОН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28"/>
          <w:szCs w:val="28"/>
          <w:u w:val="none"/>
          <w:lang w:val="ru-RU"/>
        </w:rPr>
        <w:t xml:space="preserve">                                                                               </w:t>
      </w:r>
      <w:r>
        <w:rPr>
          <w:sz w:val="28"/>
          <w:szCs w:val="28"/>
          <w:u w:val="none"/>
          <w:lang w:val="ru-RU"/>
        </w:rPr>
        <w:t>Трубчевского района</w:t>
      </w:r>
    </w:p>
    <w:p>
      <w:pPr>
        <w:pStyle w:val="Normal"/>
        <w:spacing w:lineRule="auto" w:line="240" w:before="0" w:after="0"/>
        <w:jc w:val="left"/>
        <w:rPr/>
      </w:pPr>
      <w:r>
        <w:rPr>
          <w:sz w:val="28"/>
          <w:szCs w:val="28"/>
          <w:u w:val="none"/>
          <w:lang w:val="ru-RU"/>
        </w:rPr>
        <w:t xml:space="preserve">                                                                               </w:t>
      </w:r>
      <w:r>
        <w:rPr>
          <w:sz w:val="28"/>
          <w:szCs w:val="28"/>
          <w:u w:val="none"/>
          <w:lang w:val="ru-RU"/>
        </w:rPr>
        <w:t xml:space="preserve">_________Л.Н.Сидоренкова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</w:t>
      </w:r>
    </w:p>
    <w:p>
      <w:pPr>
        <w:pStyle w:val="Normal"/>
        <w:spacing w:lineRule="auto" w:line="240" w:before="0" w:after="0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20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марта    </w:t>
      </w:r>
      <w:r>
        <w:rPr>
          <w:sz w:val="28"/>
          <w:szCs w:val="28"/>
        </w:rPr>
        <w:t>2023г.</w:t>
      </w:r>
    </w:p>
    <w:p>
      <w:pPr>
        <w:pStyle w:val="Normal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Должностная инструкция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ответственного за профилактику коррупционных и иных правонарушений в ГБУ КЦСОН Трубчевского района</w:t>
      </w:r>
    </w:p>
    <w:p>
      <w:pPr>
        <w:pStyle w:val="1"/>
        <w:spacing w:before="108" w:after="1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Общие положения</w:t>
      </w:r>
      <w:bookmarkStart w:id="0" w:name="sub_100"/>
      <w:bookmarkEnd w:id="0"/>
    </w:p>
    <w:p>
      <w:pPr>
        <w:pStyle w:val="Normal"/>
        <w:rPr/>
      </w:pPr>
      <w:bookmarkStart w:id="1" w:name="sub_101"/>
      <w:bookmarkEnd w:id="1"/>
      <w:r>
        <w:rPr>
          <w:rFonts w:ascii="Times New Roman" w:hAnsi="Times New Roman"/>
          <w:color w:val="000000"/>
          <w:sz w:val="28"/>
          <w:szCs w:val="28"/>
        </w:rPr>
        <w:t>1.1. Ответственный за профилактику коррупционных и иных правонарушений относится к категории специалистов и непосредственно подчиняется директору Центра.</w:t>
      </w:r>
    </w:p>
    <w:p>
      <w:pPr>
        <w:pStyle w:val="Normal"/>
        <w:rPr/>
      </w:pPr>
      <w:bookmarkStart w:id="2" w:name="sub_102"/>
      <w:bookmarkStart w:id="3" w:name="sub_1011"/>
      <w:bookmarkEnd w:id="2"/>
      <w:bookmarkEnd w:id="3"/>
      <w:r>
        <w:rPr>
          <w:rFonts w:ascii="Times New Roman" w:hAnsi="Times New Roman"/>
          <w:color w:val="000000"/>
          <w:sz w:val="28"/>
          <w:szCs w:val="28"/>
        </w:rPr>
        <w:t>1.2. Ответственный за профилактику коррупционных и иных правонарушений назначается на должность и освобождается от нее приказом директора Центра.</w:t>
      </w:r>
    </w:p>
    <w:p>
      <w:pPr>
        <w:pStyle w:val="Normal"/>
        <w:rPr/>
      </w:pPr>
      <w:bookmarkStart w:id="4" w:name="sub_103"/>
      <w:bookmarkStart w:id="5" w:name="sub_1021"/>
      <w:bookmarkEnd w:id="4"/>
      <w:bookmarkEnd w:id="5"/>
      <w:r>
        <w:rPr>
          <w:rFonts w:ascii="Times New Roman" w:hAnsi="Times New Roman"/>
          <w:color w:val="000000"/>
          <w:sz w:val="28"/>
          <w:szCs w:val="28"/>
        </w:rPr>
        <w:t>1.3. На должность ответственного за профилактику коррупционных и иных правонарушений назначается лицо, имеющее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образованием, не менее 3 лет.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6" w:name="sub_1031"/>
      <w:bookmarkEnd w:id="6"/>
      <w:r>
        <w:rPr>
          <w:rFonts w:ascii="Times New Roman" w:hAnsi="Times New Roman"/>
          <w:color w:val="000000"/>
          <w:sz w:val="28"/>
          <w:szCs w:val="28"/>
        </w:rPr>
        <w:t>1.4. Ответственный за профилактику коррупционных и иных правонарушений должен знать:</w:t>
      </w:r>
      <w:bookmarkStart w:id="7" w:name="sub_104"/>
      <w:bookmarkEnd w:id="7"/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- </w:t>
      </w:r>
      <w:hyperlink r:id="rId2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Конституцию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РФ;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- </w:t>
      </w:r>
      <w:hyperlink r:id="rId3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законодательство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в области противодействия коррупции;</w:t>
      </w:r>
    </w:p>
    <w:p>
      <w:pPr>
        <w:pStyle w:val="Normal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- </w:t>
      </w:r>
      <w:hyperlink r:id="rId4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гражданское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5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уголовное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6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административное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, </w:t>
      </w:r>
      <w:hyperlink r:id="rId7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трудовое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финансовое право;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отраслевое законодательство в сфере деятельности организации;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структуру организации;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антикоррупционную политику организации;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кодекс этики и служебного поведения организации;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методы убеждения, аргументации своей позиции;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этику делового общения;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правила защиты информации;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правила внутреннего трудового распорядка;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правила и нормы охраны труда, техники безопасности и противопожарной защиты.</w:t>
      </w:r>
    </w:p>
    <w:p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Должностные обязанности</w:t>
      </w:r>
      <w:bookmarkStart w:id="8" w:name="sub_200"/>
      <w:bookmarkEnd w:id="8"/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ответственного за профилактику коррупционных и иных правонарушений возлагаются следующие должностные обязанности:</w:t>
      </w:r>
    </w:p>
    <w:p>
      <w:pPr>
        <w:pStyle w:val="Normal"/>
        <w:rPr/>
      </w:pPr>
      <w:bookmarkStart w:id="9" w:name="sub_201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2.1. Обеспечение соблюдения работниками организации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</w:t>
      </w:r>
      <w:hyperlink r:id="rId8">
        <w:r>
          <w:rPr>
            <w:rStyle w:val="Style14"/>
            <w:rFonts w:ascii="Times New Roman" w:hAnsi="Times New Roman"/>
            <w:b w:val="false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"О противодействии коррупции" и другими федеральными законами </w:t>
      </w:r>
      <w:bookmarkStart w:id="10" w:name="_GoBack"/>
      <w:bookmarkEnd w:id="10"/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11" w:name="sub_202"/>
      <w:bookmarkStart w:id="12" w:name="sub_2011"/>
      <w:bookmarkEnd w:id="11"/>
      <w:bookmarkEnd w:id="12"/>
      <w:r>
        <w:rPr>
          <w:rFonts w:ascii="Times New Roman" w:hAnsi="Times New Roman"/>
          <w:color w:val="000000"/>
          <w:sz w:val="28"/>
          <w:szCs w:val="28"/>
        </w:rPr>
        <w:t>2.2. Принятие мер по выявлению и устранению причин и условий, способствующих возникновению конфликта интересов.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13" w:name="sub_203"/>
      <w:bookmarkStart w:id="14" w:name="sub_2021"/>
      <w:bookmarkEnd w:id="13"/>
      <w:bookmarkEnd w:id="14"/>
      <w:r>
        <w:rPr>
          <w:rFonts w:ascii="Times New Roman" w:hAnsi="Times New Roman"/>
          <w:color w:val="000000"/>
          <w:sz w:val="28"/>
          <w:szCs w:val="28"/>
        </w:rPr>
        <w:t>2.3. Оказание работникам организации консультативной помощи по вопросам, связанным с профилактикой коррупционных и иных правонарушений, применению на практике кодекса этики и служебного поведения работников организации.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15" w:name="sub_204"/>
      <w:bookmarkStart w:id="16" w:name="sub_2031"/>
      <w:bookmarkEnd w:id="15"/>
      <w:bookmarkEnd w:id="16"/>
      <w:r>
        <w:rPr>
          <w:rFonts w:ascii="Times New Roman" w:hAnsi="Times New Roman"/>
          <w:color w:val="000000"/>
          <w:sz w:val="28"/>
          <w:szCs w:val="28"/>
        </w:rPr>
        <w:t>2.4. Обеспечение реализации работниками обязанности по уведомлению руководителя организации,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17" w:name="sub_205"/>
      <w:bookmarkStart w:id="18" w:name="sub_2041"/>
      <w:bookmarkEnd w:id="17"/>
      <w:bookmarkEnd w:id="18"/>
      <w:r>
        <w:rPr>
          <w:rFonts w:ascii="Times New Roman" w:hAnsi="Times New Roman"/>
          <w:color w:val="000000"/>
          <w:sz w:val="28"/>
          <w:szCs w:val="28"/>
        </w:rPr>
        <w:t>2.5. Организация правового просвещения работников организации.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19" w:name="sub_206"/>
      <w:bookmarkStart w:id="20" w:name="sub_2051"/>
      <w:bookmarkEnd w:id="19"/>
      <w:bookmarkEnd w:id="20"/>
      <w:r>
        <w:rPr>
          <w:rFonts w:ascii="Times New Roman" w:hAnsi="Times New Roman"/>
          <w:color w:val="000000"/>
          <w:sz w:val="28"/>
          <w:szCs w:val="28"/>
        </w:rPr>
        <w:t>2.6. Обеспечение проведения проверки соблюдения работниками требований к служебному поведению.</w:t>
      </w:r>
    </w:p>
    <w:p>
      <w:pPr>
        <w:pStyle w:val="Normal"/>
        <w:rPr/>
      </w:pPr>
      <w:bookmarkStart w:id="21" w:name="sub_207"/>
      <w:bookmarkStart w:id="22" w:name="sub_2061"/>
      <w:bookmarkEnd w:id="21"/>
      <w:bookmarkEnd w:id="22"/>
      <w:r>
        <w:rPr>
          <w:rFonts w:ascii="Times New Roman" w:hAnsi="Times New Roman"/>
          <w:color w:val="000000"/>
          <w:sz w:val="28"/>
          <w:szCs w:val="28"/>
        </w:rPr>
        <w:t xml:space="preserve">2.7. Сбор, обработка и проверка полноты заполнения справок о доходах, расходах, об имуществе и обязательствах имущественного характера, при назначении на которые граждане и при замещении которых работники, включенные в перечень должностей в соответствии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с </w:t>
      </w:r>
      <w:hyperlink r:id="rId9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подпунктом "а" пункта 22</w:t>
        </w:r>
      </w:hyperlink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Указа Президента Российской Федерации от 2 апреля 2013г. N 309 "О мерах по реализации отдельных положений </w:t>
      </w:r>
      <w:hyperlink r:id="rId10">
        <w:r>
          <w:rPr>
            <w:rStyle w:val="Style14"/>
            <w:rFonts w:ascii="Times New Roman" w:hAnsi="Times New Roman"/>
            <w:b w:val="false"/>
            <w:bCs w:val="false"/>
            <w:color w:val="000000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"О противодействии коррупции",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23" w:name="sub_208"/>
      <w:bookmarkStart w:id="24" w:name="sub_2071"/>
      <w:bookmarkEnd w:id="23"/>
      <w:bookmarkEnd w:id="24"/>
      <w:r>
        <w:rPr>
          <w:rFonts w:ascii="Times New Roman" w:hAnsi="Times New Roman"/>
          <w:color w:val="000000"/>
          <w:sz w:val="28"/>
          <w:szCs w:val="28"/>
        </w:rPr>
        <w:t>2.8. Подготовка в соответствии со своей компетенцией локальных нормативных актов о противодействии коррупции.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25" w:name="sub_209"/>
      <w:bookmarkStart w:id="26" w:name="sub_2081"/>
      <w:bookmarkEnd w:id="25"/>
      <w:bookmarkEnd w:id="26"/>
      <w:r>
        <w:rPr>
          <w:rFonts w:ascii="Times New Roman" w:hAnsi="Times New Roman"/>
          <w:color w:val="000000"/>
          <w:sz w:val="28"/>
          <w:szCs w:val="28"/>
        </w:rPr>
        <w:t>2.9. Взаимодействие с правоохранительными органами в установленной сфере деятельности.</w:t>
      </w:r>
    </w:p>
    <w:p>
      <w:pPr>
        <w:pStyle w:val="Normal"/>
        <w:rPr>
          <w:rFonts w:ascii="Times New Roman" w:hAnsi="Times New Roman"/>
          <w:color w:val="000000"/>
          <w:sz w:val="28"/>
          <w:szCs w:val="28"/>
        </w:rPr>
      </w:pPr>
      <w:bookmarkStart w:id="27" w:name="sub_210"/>
      <w:bookmarkStart w:id="28" w:name="sub_2091"/>
      <w:bookmarkEnd w:id="27"/>
      <w:bookmarkEnd w:id="28"/>
      <w:r>
        <w:rPr>
          <w:rFonts w:ascii="Times New Roman" w:hAnsi="Times New Roman"/>
          <w:color w:val="000000"/>
          <w:sz w:val="28"/>
          <w:szCs w:val="28"/>
        </w:rPr>
        <w:t>2.10. Обеспечение сохранности и конфиденциальности сведений о работниках, полученных в ходе своей деятельности.</w:t>
      </w:r>
    </w:p>
    <w:p>
      <w:pPr>
        <w:pStyle w:val="Normal"/>
        <w:ind w:hang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798"/>
      <w:pgMar w:left="1410" w:right="806" w:header="720" w:top="1440" w:footer="567" w:bottom="128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bidi w:val="0"/>
      <w:spacing w:lineRule="auto" w:line="240" w:before="0" w:after="0"/>
      <w:ind w:left="0" w:right="-170" w:hanging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Цветовое выделение"/>
    <w:uiPriority w:val="99"/>
    <w:qFormat/>
    <w:rPr>
      <w:b/>
      <w:bCs/>
      <w:color w:val="26282F"/>
    </w:rPr>
  </w:style>
  <w:style w:type="character" w:styleId="Style14" w:customStyle="1">
    <w:name w:val="Гипертекстовая ссылка"/>
    <w:basedOn w:val="Style13"/>
    <w:uiPriority w:val="99"/>
    <w:qFormat/>
    <w:rPr>
      <w:b/>
      <w:bCs/>
      <w:color w:val="106BBE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 w:cs="Times New Roman CYR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Pr>
      <w:rFonts w:ascii="Times New Roman CYR" w:hAnsi="Times New Roman CYR" w:cs="Times New Roman CYR"/>
      <w:sz w:val="24"/>
      <w:szCs w:val="24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/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b w:val="false"/>
      <w:color w:val="auto"/>
    </w:rPr>
  </w:style>
  <w:style w:type="character" w:styleId="ListLabel4">
    <w:name w:val="ListLabel 4"/>
    <w:qFormat/>
    <w:rPr/>
  </w:style>
  <w:style w:type="character" w:styleId="ListLabel5">
    <w:name w:val="ListLabel 5"/>
    <w:qFormat/>
    <w:rPr>
      <w:b w:val="false"/>
      <w:color w:val="auto"/>
    </w:rPr>
  </w:style>
  <w:style w:type="character" w:styleId="ListLabel6">
    <w:name w:val="ListLabel 6"/>
    <w:qFormat/>
    <w:rPr>
      <w:rFonts w:ascii="Times New Roman" w:hAnsi="Times New Roman"/>
      <w:b w:val="false"/>
      <w:bCs w:val="false"/>
      <w:color w:val="000000"/>
      <w:sz w:val="28"/>
      <w:szCs w:val="28"/>
    </w:rPr>
  </w:style>
  <w:style w:type="character" w:styleId="ListLabel7">
    <w:name w:val="ListLabel 7"/>
    <w:qFormat/>
    <w:rPr>
      <w:rFonts w:ascii="Times New Roman" w:hAnsi="Times New Roman"/>
      <w:b w:val="false"/>
      <w:color w:val="000000"/>
      <w:sz w:val="28"/>
      <w:szCs w:val="28"/>
    </w:rPr>
  </w:style>
  <w:style w:type="character" w:styleId="ListLabel8">
    <w:name w:val="ListLabel 8"/>
    <w:qFormat/>
    <w:rPr>
      <w:rFonts w:ascii="Times New Roman" w:hAnsi="Times New Roman"/>
      <w:b w:val="false"/>
      <w:bCs w:val="false"/>
      <w:color w:val="000000"/>
      <w:sz w:val="28"/>
      <w:szCs w:val="28"/>
    </w:rPr>
  </w:style>
  <w:style w:type="character" w:styleId="ListLabel9">
    <w:name w:val="ListLabel 9"/>
    <w:qFormat/>
    <w:rPr>
      <w:rFonts w:ascii="Times New Roman" w:hAnsi="Times New Roman"/>
      <w:b w:val="false"/>
      <w:color w:val="000000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 w:customStyle="1">
    <w:name w:val="Текст (справка)"/>
    <w:basedOn w:val="Normal"/>
    <w:next w:val="Normal"/>
    <w:uiPriority w:val="99"/>
    <w:qFormat/>
    <w:pPr>
      <w:ind w:left="170" w:right="170" w:hanging="0"/>
      <w:jc w:val="left"/>
    </w:pPr>
    <w:rPr/>
  </w:style>
  <w:style w:type="paragraph" w:styleId="Style25" w:customStyle="1">
    <w:name w:val="Комментарий"/>
    <w:basedOn w:val="Style24"/>
    <w:next w:val="Normal"/>
    <w:uiPriority w:val="99"/>
    <w:qFormat/>
    <w:pPr>
      <w:spacing w:before="75" w:after="0"/>
      <w:ind w:left="170" w:right="0" w:hanging="0"/>
      <w:jc w:val="both"/>
    </w:pPr>
    <w:rPr>
      <w:color w:val="353842"/>
    </w:rPr>
  </w:style>
  <w:style w:type="paragraph" w:styleId="Style26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7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paragraph" w:styleId="Style28">
    <w:name w:val="Header"/>
    <w:basedOn w:val="Normal"/>
    <w:link w:val="ab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d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nternet.garant.ru/document/redirect/10103000/0" TargetMode="External"/><Relationship Id="rId3" Type="http://schemas.openxmlformats.org/officeDocument/2006/relationships/hyperlink" Target="http://internet.garant.ru/document/redirect/12164203/0" TargetMode="External"/><Relationship Id="rId4" Type="http://schemas.openxmlformats.org/officeDocument/2006/relationships/hyperlink" Target="http://internet.garant.ru/document/redirect/10164072/0" TargetMode="External"/><Relationship Id="rId5" Type="http://schemas.openxmlformats.org/officeDocument/2006/relationships/hyperlink" Target="http://internet.garant.ru/document/redirect/10108000/0" TargetMode="External"/><Relationship Id="rId6" Type="http://schemas.openxmlformats.org/officeDocument/2006/relationships/hyperlink" Target="http://internet.garant.ru/document/redirect/12125267/0" TargetMode="External"/><Relationship Id="rId7" Type="http://schemas.openxmlformats.org/officeDocument/2006/relationships/hyperlink" Target="http://internet.garant.ru/document/redirect/12125268/0" TargetMode="External"/><Relationship Id="rId8" Type="http://schemas.openxmlformats.org/officeDocument/2006/relationships/hyperlink" Target="http://internet.garant.ru/document/redirect/12164203/0" TargetMode="External"/><Relationship Id="rId9" Type="http://schemas.openxmlformats.org/officeDocument/2006/relationships/hyperlink" Target="http://internet.garant.ru/document/redirect/70350274/2201" TargetMode="External"/><Relationship Id="rId10" Type="http://schemas.openxmlformats.org/officeDocument/2006/relationships/hyperlink" Target="http://internet.garant.ru/document/redirect/12164203/0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LibreOffice/6.2.0.3$Windows_x86 LibreOffice_project/98c6a8a1c6c7b144ce3cc729e34964b47ce25d62</Application>
  <Pages>2</Pages>
  <Words>462</Words>
  <Characters>3444</Characters>
  <CharactersWithSpaces>4898</CharactersWithSpaces>
  <Paragraphs>37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2023-03-16T12:47:00Z</dcterms:created>
  <dc:creator>НПП "Гарант-Сервис"</dc:creator>
  <dc:description>Документ экспортирован из системы ГАРАНТ</dc:description>
  <dc:language>ru-RU</dc:language>
  <cp:lastModifiedBy/>
  <cp:lastPrinted>2023-03-28T10:32:15Z</cp:lastPrinted>
  <dcterms:modified xsi:type="dcterms:W3CDTF">2023-03-28T10:37:56Z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